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tbl>
      <w:tblPr>
        <w:tblW w:type="dxa" w:w="9638"/>
        <w:tblLayout w:type="fixed"/>
        <w:tblLook w:firstColumn="1" w:firstRow="1" w:lastColumn="0" w:lastRow="0" w:noHBand="0" w:noVBand="1" w:val="04A0"/>
        <w:tblBorders>
          <w:top w:val="nil"/>
          <w:left w:val="nil"/>
          <w:right w:val="nil"/>
          <w:insideH w:val="nil"/>
          <w:insideV w:val="nil"/>
          <w:bottom w:val="single" w:sz="16" w:color="2C5F9E" w:space="0"/>
        </w:tblBorders>
      </w:tblPr>
      <w:tblGrid>
        <w:gridCol w:w="9638"/>
      </w:tblGrid>
      <w:tr>
        <w:trPr>
          <w:trHeight w:val="1200" w:hRule="exact"/>
        </w:trPr>
        <w:tc>
          <w:tcPr>
            <w:tcW w:type="dxa" w:w="9638"/>
            <w:shd w:val="clear" w:color="auto" w:fill="DDE5F0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/>
            <w:r>
              <w:rPr>
                <w:rFonts w:ascii="Arial" w:hAnsi="Arial"/>
                <w:b/>
                <w:color w:val="2C5F9E"/>
                <w:sz w:val="28"/>
              </w:rPr>
              <w:t>Exercices Cours 2 — Rapport REX et escalade N3 (TCIEL)</w:t>
            </w:r>
          </w:p>
        </w:tc>
      </w:tr>
    </w:tbl>
    <w:bookmarkStart w:id="21" w:name="Xb61232ac902906573050c364b99b01f4fe08630"/>
    <w:p>
      <w:pPr>
        <w:pStyle w:val="Heading1"/>
        <w:spacing w:line="312" w:lineRule="auto" w:before="0" w:after="280"/>
        <w:keepNext/>
        <w:keepLines/>
      </w:pPr>
      <w:r>
        <w:rPr>
          <w:sz w:val="22"/>
        </w:rPr>
        <w:t xml:space="preserve">Exercices Cours 2 — Rapport REX et escalade N3 (TCIEL)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Durée :</w:t>
      </w:r>
      <w:r>
        <w:rPr>
          <w:sz w:val="22"/>
        </w:rPr>
        <w:t xml:space="preserve"> </w:t>
      </w:r>
      <w:r>
        <w:rPr>
          <w:sz w:val="22"/>
        </w:rPr>
        <w:t xml:space="preserve">25 min |</w:t>
      </w:r>
      <w:r>
        <w:rPr>
          <w:sz w:val="22"/>
        </w:rPr>
        <w:t xml:space="preserve"> </w:t>
      </w:r>
      <w:r>
        <w:rPr>
          <w:b/>
          <w:bCs/>
          <w:sz w:val="22"/>
        </w:rPr>
        <w:t xml:space="preserve">Document élève — Pas de correction dans ce document</w:t>
      </w:r>
    </w:p>
    <w:bookmarkStart w:id="17" w:name="exercice-1-qcm-5-min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Exercice 1 — QCM (5 min)</w:t>
      </w:r>
    </w:p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 xml:space="preserve">Coche la bonne réponse.</w:t>
      </w:r>
    </w:p>
    <w:p>
      <w:pPr>
        <w:pStyle w:val="BodyText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Q1.</w:t>
      </w:r>
      <w:r>
        <w:rPr>
          <w:sz w:val="22"/>
        </w:rPr>
        <w:t xml:space="preserve"> </w:t>
      </w:r>
      <w:r>
        <w:rPr>
          <w:sz w:val="22"/>
        </w:rPr>
        <w:t xml:space="preserve">Combien de sections doit contenir un rapport REX N2 complet pour être recevable ?</w:t>
      </w:r>
    </w:p>
    <w:p>
      <w:pPr>
        <w:pStyle w:val="Compact"/>
        <w:numPr>
          <w:ilvl w:val="0"/>
          <w:numId w:val="1001"/>
        </w:numPr>
        <w:spacing w:line="312" w:lineRule="auto" w:before="0" w:after="160"/>
      </w:pPr>
      <w:r>
        <w:rPr>
          <w:sz w:val="22"/>
        </w:rPr>
        <w:t xml:space="preserve">A. 3 sections (résumé, cause, recommandations)</w:t>
      </w:r>
    </w:p>
    <w:p>
      <w:pPr>
        <w:pStyle w:val="Compact"/>
        <w:numPr>
          <w:ilvl w:val="0"/>
          <w:numId w:val="1002"/>
        </w:numPr>
        <w:spacing w:line="312" w:lineRule="auto" w:before="0" w:after="160"/>
      </w:pPr>
      <w:r>
        <w:rPr>
          <w:sz w:val="22"/>
        </w:rPr>
        <w:t xml:space="preserve">B. 4 sections (en-tête, timeline, actions, clôture)</w:t>
      </w:r>
    </w:p>
    <w:p>
      <w:pPr>
        <w:pStyle w:val="Compact"/>
        <w:numPr>
          <w:ilvl w:val="0"/>
          <w:numId w:val="1003"/>
        </w:numPr>
        <w:spacing w:line="312" w:lineRule="auto" w:before="0" w:after="160"/>
      </w:pPr>
      <w:r>
        <w:rPr>
          <w:sz w:val="22"/>
        </w:rPr>
        <w:t xml:space="preserve">C. 6 sections (en-tête, résumé, timeline, cause racine, actions, recommandations)</w:t>
      </w:r>
    </w:p>
    <w:p>
      <w:pPr>
        <w:pStyle w:val="Compact"/>
        <w:numPr>
          <w:ilvl w:val="0"/>
          <w:numId w:val="1004"/>
        </w:numPr>
        <w:spacing w:line="312" w:lineRule="auto" w:before="0" w:after="160"/>
      </w:pPr>
      <w:r>
        <w:rPr>
          <w:sz w:val="22"/>
        </w:rPr>
        <w:t xml:space="preserve">D. Autant que nécessaire — pas de structure imposée</w:t>
      </w:r>
    </w:p>
    <w:p>
      <w:pPr>
        <w:pStyle w:val="FirstParagraph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Q2.</w:t>
      </w:r>
      <w:r>
        <w:rPr>
          <w:sz w:val="22"/>
        </w:rPr>
        <w:t xml:space="preserve"> </w:t>
      </w:r>
      <w:r>
        <w:rPr>
          <w:sz w:val="22"/>
        </w:rPr>
        <w:t xml:space="preserve">Tu dois notifier la CNIL suite à l’incident OceanBio. Dans quel délai légal maximal ?</w:t>
      </w:r>
    </w:p>
    <w:p>
      <w:pPr>
        <w:pStyle w:val="Compact"/>
        <w:numPr>
          <w:ilvl w:val="0"/>
          <w:numId w:val="1005"/>
        </w:numPr>
        <w:spacing w:line="312" w:lineRule="auto" w:before="0" w:after="160"/>
      </w:pPr>
      <w:r>
        <w:rPr>
          <w:sz w:val="22"/>
        </w:rPr>
        <w:t xml:space="preserve">A. 24 heures</w:t>
      </w:r>
    </w:p>
    <w:p>
      <w:pPr>
        <w:pStyle w:val="Compact"/>
        <w:numPr>
          <w:ilvl w:val="0"/>
          <w:numId w:val="1006"/>
        </w:numPr>
        <w:spacing w:line="312" w:lineRule="auto" w:before="0" w:after="160"/>
      </w:pPr>
      <w:r>
        <w:rPr>
          <w:sz w:val="22"/>
        </w:rPr>
        <w:t xml:space="preserve">B. 48 heures</w:t>
      </w:r>
    </w:p>
    <w:p>
      <w:pPr>
        <w:pStyle w:val="Compact"/>
        <w:numPr>
          <w:ilvl w:val="0"/>
          <w:numId w:val="1007"/>
        </w:numPr>
        <w:spacing w:line="312" w:lineRule="auto" w:before="0" w:after="160"/>
      </w:pPr>
      <w:r>
        <w:rPr>
          <w:sz w:val="22"/>
        </w:rPr>
        <w:t xml:space="preserve">C. 72 heures</w:t>
      </w:r>
    </w:p>
    <w:p>
      <w:pPr>
        <w:pStyle w:val="Compact"/>
        <w:numPr>
          <w:ilvl w:val="0"/>
          <w:numId w:val="1008"/>
        </w:numPr>
        <w:spacing w:line="312" w:lineRule="auto" w:before="0" w:after="160"/>
      </w:pPr>
      <w:r>
        <w:rPr>
          <w:sz w:val="22"/>
        </w:rPr>
        <w:t xml:space="preserve">D. 7 jours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Q3.</w:t>
      </w:r>
      <w:r>
        <w:rPr>
          <w:sz w:val="22"/>
        </w:rPr>
        <w:t xml:space="preserve"> </w:t>
      </w:r>
      <w:r>
        <w:rPr>
          <w:sz w:val="22"/>
        </w:rPr>
        <w:t xml:space="preserve">La</w:t>
      </w:r>
      <w:r>
        <w:rPr>
          <w:sz w:val="22"/>
        </w:rPr>
        <w:t xml:space="preserve"> </w:t>
      </w:r>
      <w:r>
        <w:rPr>
          <w:sz w:val="22"/>
        </w:rPr>
        <w:t xml:space="preserve">“cause racine”</w:t>
      </w:r>
      <w:r>
        <w:rPr>
          <w:sz w:val="22"/>
        </w:rPr>
        <w:t xml:space="preserve"> </w:t>
      </w:r>
      <w:r>
        <w:rPr>
          <w:sz w:val="22"/>
        </w:rPr>
        <w:t xml:space="preserve">d’un incident, c’est :</w:t>
      </w:r>
    </w:p>
    <w:p>
      <w:pPr>
        <w:pStyle w:val="Compact"/>
        <w:numPr>
          <w:ilvl w:val="0"/>
          <w:numId w:val="1009"/>
        </w:numPr>
        <w:spacing w:line="312" w:lineRule="auto" w:before="0" w:after="160"/>
      </w:pPr>
      <w:r>
        <w:rPr>
          <w:sz w:val="22"/>
        </w:rPr>
        <w:t xml:space="preserve">A. La liste de toutes les vulnérabilités détectées</w:t>
      </w:r>
    </w:p>
    <w:p>
      <w:pPr>
        <w:pStyle w:val="Compact"/>
        <w:numPr>
          <w:ilvl w:val="0"/>
          <w:numId w:val="1010"/>
        </w:numPr>
        <w:spacing w:line="312" w:lineRule="auto" w:before="0" w:after="160"/>
      </w:pPr>
      <w:r>
        <w:rPr>
          <w:sz w:val="22"/>
        </w:rPr>
        <w:t xml:space="preserve">B. La vulnérabilité principale qui a rendu l’incident possible</w:t>
      </w:r>
    </w:p>
    <w:p>
      <w:pPr>
        <w:pStyle w:val="Compact"/>
        <w:numPr>
          <w:ilvl w:val="0"/>
          <w:numId w:val="1011"/>
        </w:numPr>
        <w:spacing w:line="312" w:lineRule="auto" w:before="0" w:after="160"/>
      </w:pPr>
      <w:r>
        <w:rPr>
          <w:sz w:val="22"/>
        </w:rPr>
        <w:t xml:space="preserve">C. L’IP de l’attaquant</w:t>
      </w:r>
    </w:p>
    <w:p>
      <w:pPr>
        <w:pStyle w:val="Compact"/>
        <w:numPr>
          <w:ilvl w:val="0"/>
          <w:numId w:val="1012"/>
        </w:numPr>
        <w:spacing w:line="312" w:lineRule="auto" w:before="0" w:after="160"/>
      </w:pPr>
      <w:r>
        <w:rPr>
          <w:sz w:val="22"/>
        </w:rPr>
        <w:t xml:space="preserve">D. La date à laquelle l’incident a été détecté</w:t>
      </w:r>
    </w:p>
    <w:p>
      <w:pPr>
        <w:pStyle w:val="FirstParagraph"/>
        <w:spacing w:line="312" w:lineRule="auto" w:before="0" w:after="160"/>
        <w:keepNext/>
        <w:keepLines/>
      </w:pPr>
      <w:r>
        <w:rPr>
          <w:b/>
          <w:bCs/>
          <w:sz w:val="22"/>
        </w:rPr>
        <w:t xml:space="preserve">Q4.</w:t>
      </w:r>
      <w:r>
        <w:rPr>
          <w:sz w:val="22"/>
        </w:rPr>
        <w:t xml:space="preserve"> </w:t>
      </w:r>
      <w:r>
        <w:rPr>
          <w:sz w:val="22"/>
        </w:rPr>
        <w:t xml:space="preserve">Qui est responsable légalement de notifier la CNIL en cas de violation de données chez OceanBio ?</w:t>
      </w:r>
    </w:p>
    <w:p>
      <w:pPr>
        <w:pStyle w:val="Compact"/>
        <w:numPr>
          <w:ilvl w:val="0"/>
          <w:numId w:val="1013"/>
        </w:numPr>
        <w:spacing w:line="312" w:lineRule="auto" w:before="0" w:after="160"/>
      </w:pPr>
      <w:r>
        <w:rPr>
          <w:sz w:val="22"/>
        </w:rPr>
        <w:t xml:space="preserve">A. SecuRun 974 (prestataire)</w:t>
      </w:r>
    </w:p>
    <w:p>
      <w:pPr>
        <w:pStyle w:val="Compact"/>
        <w:numPr>
          <w:ilvl w:val="0"/>
          <w:numId w:val="1014"/>
        </w:numPr>
        <w:spacing w:line="312" w:lineRule="auto" w:before="0" w:after="160"/>
      </w:pPr>
      <w:r>
        <w:rPr>
          <w:sz w:val="22"/>
        </w:rPr>
        <w:t xml:space="preserve">B. Le N3</w:t>
      </w:r>
    </w:p>
    <w:p>
      <w:pPr>
        <w:pStyle w:val="Compact"/>
        <w:numPr>
          <w:ilvl w:val="0"/>
          <w:numId w:val="1015"/>
        </w:numPr>
        <w:spacing w:line="312" w:lineRule="auto" w:before="0" w:after="160"/>
      </w:pPr>
      <w:r>
        <w:rPr>
          <w:sz w:val="22"/>
        </w:rPr>
        <w:t xml:space="preserve">C. OceanBio (responsable de traitement)</w:t>
      </w:r>
    </w:p>
    <w:p>
      <w:pPr>
        <w:pStyle w:val="Compact"/>
        <w:numPr>
          <w:ilvl w:val="0"/>
          <w:numId w:val="1016"/>
        </w:numPr>
        <w:spacing w:line="312" w:lineRule="auto" w:before="0" w:after="160"/>
      </w:pPr>
      <w:r>
        <w:rPr>
          <w:sz w:val="22"/>
        </w:rPr>
        <w:t xml:space="preserve">D. La CNIL elle-même</w:t>
      </w:r>
    </w:p>
    <w:bookmarkEnd w:id="17"/>
    <w:bookmarkStart w:id="18" w:name="X5f8052c5fc88b4cc8068fc5f3c2a8fd7dcc7657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Exercice 2 — Compléter le rapport REX (10 min)</w:t>
      </w:r>
    </w:p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 xml:space="preserve">Complète les sections manquantes du rapport REX d’OceanBio. Tu peux t’aider de ta timeline TP1 et de tes notes TP2.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RAPPORT D’INCIDENT N2 — OceanBio / SecuRun 974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4819"/>
        <w:gridCol w:w="4819"/>
      </w:tblGrid>
      <w:tr>
        <w:trPr>
          <w:tblHeader w:val="on"/>
        </w:trP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Champ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Valeur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Référence ticket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GLPI #4782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Date détection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08/04/2026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Date clôture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____________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Technicien N2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____________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Client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OceanBio — Le Port, La Réunion</w:t>
            </w:r>
          </w:p>
        </w:tc>
      </w:tr>
      <w:tr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Criticité</w:t>
            </w:r>
          </w:p>
        </w:tc>
        <w:tc>
          <w:tcPr>
            <w:tcW w:type="dxa" w:w="481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____________</w:t>
            </w: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Résumé exécutif (3 lignes max) :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________________________________________________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________________________________________________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________________________________________________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Cause racine :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________________________________________________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________________________________________________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Actions réalisées :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3212"/>
        <w:gridCol w:w="3213"/>
        <w:gridCol w:w="3213"/>
      </w:tblGrid>
      <w:tr>
        <w:trPr>
          <w:tblHeader w:val="on"/>
        </w:trP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Date/Heure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Action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Résultat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Analyse multi-sources (auth.log, access.log, syslog, firewall.log)</w:t>
            </w: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Timeline 9 événements construite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IP bloquée iptables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Compte admin verrouillé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sshd_config renforcé (4 paramètres)</w:t>
            </w:r>
          </w:p>
        </w:tc>
      </w:tr>
      <w:tr>
        <w:tc>
          <w:tcPr>
            <w:tcW w:type="dxa" w:w="3212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3213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SSH par mdp refusé — confirmé</w:t>
            </w:r>
          </w:p>
        </w:tc>
      </w:tr>
    </w:tbl>
    <w:p>
      <w:pPr>
        <w:pStyle w:val="BodyText"/>
        <w:spacing w:line="312" w:lineRule="auto" w:before="0" w:after="160"/>
      </w:pPr>
      <w:r>
        <w:rPr>
          <w:b/>
          <w:bCs/>
          <w:sz w:val="22"/>
        </w:rPr>
        <w:t xml:space="preserve">Recommandation prioritaire :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________________________________________________</w:t>
      </w:r>
      <w:r>
        <w:rPr>
          <w:sz w:val="22"/>
        </w:rPr>
        <w:br/>
      </w:r>
      <w:r>
        <w:rPr>
          <w:rStyle w:val="VerbatimChar"/>
          <w:sz w:val="22"/>
        </w:rPr>
        <w:t xml:space="preserve">________________________________________________</w:t>
      </w:r>
    </w:p>
    <w:bookmarkEnd w:id="18"/>
    <w:bookmarkStart w:id="19" w:name="X396096a30819c42778ba6f89ce490a4f7290778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Exercice 3 — Identifier les erreurs dans un message d’escalade (5 min)</w:t>
      </w:r>
    </w:p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 xml:space="preserve">Lis ce message d’escalade envoyé par un technicien N2. Identifie les 3 problèmes principaux.</w:t>
      </w:r>
    </w:p>
    <w:p>
      <w:pPr>
        <w:pStyle w:val="BlockText"/>
        <w:spacing w:line="312" w:lineRule="auto" w:before="0" w:after="160"/>
      </w:pPr>
      <w:r>
        <w:rPr>
          <w:i/>
          <w:iCs/>
          <w:sz w:val="22"/>
        </w:rPr>
        <w:t xml:space="preserve">De : Technicien N2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À : Équipe N3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Objet : Problème OceanBio</w:t>
      </w:r>
    </w:p>
    <w:p>
      <w:pPr>
        <w:pStyle w:val="BlockText"/>
        <w:spacing w:line="312" w:lineRule="auto" w:before="0" w:after="160"/>
      </w:pPr>
      <w:r>
        <w:rPr>
          <w:sz w:val="22"/>
        </w:rPr>
        <w:t xml:space="preserve">Bonjour,</w:t>
      </w:r>
    </w:p>
    <w:p>
      <w:pPr>
        <w:pStyle w:val="BlockText"/>
        <w:spacing w:line="312" w:lineRule="auto" w:before="0" w:after="160"/>
        <w:keepNext/>
        <w:keepLines/>
      </w:pPr>
      <w:r>
        <w:rPr>
          <w:sz w:val="22"/>
        </w:rPr>
        <w:t xml:space="preserve">Il y a eu un incident chez OceanBio. J’ai fait des trucs pour bloquer. Je pense que c’est résolu mais je ne suis pas sûr. Pouvez-vous regarder ?</w:t>
      </w:r>
    </w:p>
    <w:p>
      <w:pPr>
        <w:pStyle w:val="BlockText"/>
        <w:spacing w:line="312" w:lineRule="auto" w:before="0" w:after="160"/>
      </w:pPr>
      <w:r>
        <w:rPr>
          <w:sz w:val="22"/>
        </w:rPr>
        <w:t xml:space="preserve">Cordialement*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Problème 1 :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________________________________________________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Problème 2 :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________________________________________________</w:t>
      </w:r>
    </w:p>
    <w:p>
      <w:pPr>
        <w:pStyle w:val="FirstParagraph"/>
        <w:spacing w:line="312" w:lineRule="auto" w:before="0" w:after="160"/>
      </w:pPr>
      <w:r>
        <w:rPr>
          <w:b/>
          <w:bCs/>
          <w:sz w:val="22"/>
        </w:rPr>
        <w:t xml:space="preserve">Problème 3 :</w:t>
      </w:r>
    </w:p>
    <w:p>
      <w:pPr>
        <w:pStyle w:val="SourceCode"/>
        <w:spacing w:line="312" w:lineRule="auto" w:before="0" w:after="160"/>
      </w:pPr>
      <w:r>
        <w:rPr>
          <w:rStyle w:val="VerbatimChar"/>
          <w:sz w:val="22"/>
        </w:rPr>
        <w:t xml:space="preserve">________________________________________________</w:t>
      </w:r>
    </w:p>
    <w:bookmarkEnd w:id="19"/>
    <w:bookmarkStart w:id="20" w:name="Xbe2a22f91114d1bc8d2335714def9f6a881ef88"/>
    <w:p>
      <w:pPr>
        <w:pStyle w:val="Heading2"/>
        <w:spacing w:line="312" w:lineRule="auto" w:before="360" w:after="200"/>
        <w:keepNext/>
        <w:keepLines/>
      </w:pPr>
      <w:r>
        <w:rPr>
          <w:sz w:val="22"/>
        </w:rPr>
        <w:t xml:space="preserve">Exercice 4 — Rédiger la section recommandations (5 min)</w:t>
      </w:r>
    </w:p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 xml:space="preserve">Rédige la section recommandations du rapport REX OceanBio. Tu dois proposer 3 recommandations concrètes, applicables et priorisées.</w:t>
      </w:r>
    </w:p>
    <w:tbl>
      <w:tblPr>
        <w:tblStyle w:val="Table"/>
        <w:tblW w:type="dxa" w:w="9638"/>
        <w:tblLayout w:type="fixed"/>
        <w:tblLook w:firstRow="1" w:lastRow="0" w:firstColumn="0" w:lastColumn="0" w:noHBand="0" w:noVBand="0" w:val="0020"/>
        <w:tblBorders>
          <w:top w:val="single" w:sz="4" w:color="D6DEE5" w:space="0"/>
          <w:left w:val="single" w:sz="4" w:color="D6DEE5" w:space="0"/>
          <w:bottom w:val="single" w:sz="4" w:color="D6DEE5" w:space="0"/>
          <w:right w:val="single" w:sz="4" w:color="D6DEE5" w:space="0"/>
          <w:insideH w:val="single" w:sz="4" w:color="D6DEE5" w:space="0"/>
          <w:insideV w:val="single" w:sz="4" w:color="D6DEE5" w:space="0"/>
        </w:tblBorders>
      </w:tblPr>
      <w:tblGrid>
        <w:gridCol w:w="2409"/>
        <w:gridCol w:w="2409"/>
        <w:gridCol w:w="2410"/>
        <w:gridCol w:w="2410"/>
      </w:tblGrid>
      <w:tr>
        <w:trPr>
          <w:tblHeader w:val="on"/>
        </w:trP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Priorité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Recommandation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Responsable</w:t>
            </w: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shd w:val="clear" w:color="auto" w:fill="1B3A4B"/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Arial" w:hAnsi="Arial"/>
                <w:b/>
                <w:color w:val="FFFFFF"/>
                <w:sz w:val="20"/>
              </w:rPr>
              <w:t xml:space="preserve">Délai</w:t>
            </w: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IMMÉDIAT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COURT TERME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5F7F9"/>
          </w:tcPr>
          <w:p>
            <w:pPr>
              <w:spacing w:before="0" w:after="0" w:line="240" w:lineRule="auto"/>
            </w:pPr>
          </w:p>
        </w:tc>
      </w:tr>
      <w:tr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E8F1F8"/>
          </w:tcPr>
          <w:p>
            <w:pPr>
              <w:spacing w:before="0" w:after="0" w:line="240" w:lineRule="auto"/>
            </w:pPr>
            <w:r>
              <w:rPr>
                <w:rFonts w:ascii="Arial" w:hAnsi="Arial"/>
                <w:color w:val="2C3E50"/>
                <w:sz w:val="20"/>
              </w:rPr>
              <w:t xml:space="preserve">MOYEN TERME</w:t>
            </w:r>
          </w:p>
        </w:tc>
        <w:tc>
          <w:tcPr>
            <w:tcW w:type="dxa" w:w="2409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  <w:tc>
          <w:tcPr>
            <w:tcW w:type="dxa" w:w="2410"/>
            <w:tcBorders>
              <w:top w:val="single" w:sz="4" w:color="D6DEE5" w:space="0"/>
              <w:left w:val="single" w:sz="4" w:color="D6DEE5" w:space="0"/>
              <w:bottom w:val="single" w:sz="4" w:color="D6DEE5" w:space="0"/>
              <w:right w:val="single" w:sz="4" w:color="D6DEE5" w:space="0"/>
            </w:tcBorders>
            <w:tcMar>
              <w:top w:w="90" w:type="dxa"/>
              <w:left w:w="140" w:type="dxa"/>
              <w:bottom w:w="90" w:type="dxa"/>
              <w:right w:w="140" w:type="dxa"/>
            </w:tcMar>
            <w:vAlign w:val="center"/>
            <w:shd w:val="clear" w:color="auto" w:fill="FFFFFF"/>
          </w:tcPr>
          <w:p>
            <w:pPr>
              <w:spacing w:before="0" w:after="0" w:line="240" w:lineRule="auto"/>
            </w:pPr>
          </w:p>
        </w:tc>
      </w:tr>
    </w:tbl>
    <w:p>
      <w:pPr>
        <w:pStyle w:val="FirstParagraph"/>
        <w:spacing w:line="312" w:lineRule="auto" w:before="0" w:after="160"/>
      </w:pPr>
      <w:r>
        <w:rPr>
          <w:i/>
          <w:iCs/>
          <w:sz w:val="22"/>
        </w:rPr>
        <w:t xml:space="preserve">Exercices Cours 2 — TC_CYB_04 — TCIEL — Bac Pro CIEL</w:t>
      </w:r>
    </w:p>
    <w:bookmarkEnd w:id="20"/>
    <w:bookmarkEnd w:id="21"/>
    <w:sectPr>
      <w:headerReference r:id="rId2" w:type="default"/>
      <w:footerReference r:id="rId8" w:type="default"/>
      <w:headerReference r:id="rId1" w:type="first"/>
      <w:headerReference r:id="rId2" w:type="even"/>
      <w:footerReference r:id="rId3" w:type="first"/>
      <w:footerReference r:id="rId4" w:type="even"/>
      <w:pgSz w:h="16838" w:orient="portrait" w:w="11906"/>
      <w:pgMar w:bottom="1008" w:footer="708" w:gutter="0" w:header="708" w:left="1008" w:right="1008" w:top="1008"/>
      <w:pgNumType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Exercices Cours 2 — Rapport REX et escalade N3 (TCIEL)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Exercices Cours 2 — Rapport REX et escalade N3 (TCIEL)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er3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6B7280"/>
        <w:sz w:val="18"/>
      </w:rPr>
      <w:t>Exercices Cours 2 — Rapport REX et escalade N3 (TCIEL)</w:t>
    </w:r>
    <w:r>
      <w:rPr>
        <w:rFonts w:ascii="Arial" w:hAnsi="Arial"/>
        <w:color w:val="6B7280"/>
        <w:sz w:val="18"/>
      </w:rPr>
      <w:tab/>
    </w:r>
    <w:r>
      <w:rPr>
        <w:rFonts w:ascii="Arial" w:hAnsi="Arial"/>
        <w:color w:val="6B7280"/>
        <w:sz w:val="18"/>
      </w:rPr>
      <w:t xml:space="preserve">Page </w:t>
    </w:r>
    <w:r>
      <w:rPr>
        <w:rFonts w:ascii="Arial" w:hAnsi="Arial"/>
        <w:color w:val="6B7280"/>
        <w:sz w:val="18"/>
      </w:rPr>
      <w:fldChar w:fldCharType="begin"/>
    </w:r>
    <w:r>
      <w:rPr>
        <w:rFonts w:ascii="Arial" w:hAnsi="Arial"/>
        <w:color w:val="6B7280"/>
        <w:sz w:val="18"/>
      </w:rPr>
      <w:instrText xml:space="preserve"> PAGE </w:instrText>
    </w:r>
    <w:r>
      <w:rPr>
        <w:rFonts w:ascii="Arial" w:hAnsi="Arial"/>
        <w:color w:val="6B7280"/>
        <w:sz w:val="18"/>
      </w:rPr>
      <w:fldChar w:fldCharType="separate"/>
      <w:t>1</w:t>
    </w:r>
    <w:r>
      <w:rPr>
        <w:rFonts w:ascii="Arial" w:hAnsi="Arial"/>
        <w:color w:val="6B7280"/>
        <w:sz w:val="18"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tabs>
        <w:tab w:val="right" w:leader="none" w:pos="6280150"/>
      </w:tabs>
      <w:spacing w:before="0" w:after="0" w:line="240" w:lineRule="auto"/>
    </w:pPr>
    <w:r>
      <w:rPr>
        <w:rFonts w:ascii="Arial" w:hAnsi="Arial"/>
        <w:color w:val="2C3E50"/>
        <w:sz w:val="18"/>
      </w:rPr>
      <w:t>Bac Pro CIEL — TCIEL</w:t>
    </w:r>
    <w:r>
      <w:rPr>
        <w:rFonts w:ascii="Arial" w:hAnsi="Arial"/>
        <w:color w:val="2C3E50"/>
        <w:sz w:val="18"/>
      </w:rPr>
      <w:tab/>
    </w:r>
    <w:r>
      <w:rPr>
        <w:rFonts w:ascii="Arial" w:hAnsi="Arial"/>
        <w:color w:val="2C3E50"/>
        <w:sz w:val="18"/>
      </w:rPr>
      <w:t>DOCUMENT ELEVE</w:t>
    </w: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1">
    <w:multiLevelType w:val="hybridMultilevel"/>
    <w:lvl w15:tentative="1" w:ilvl="0">
      <w:start w:val="1"/>
      <w:numFmt w:val="bullet"/>
      <w:lvlText w:val="●"/>
      <w:lvlJc w:val="left"/>
      <w:pPr>
        <w:ind w:hanging="360" w:left="720"/>
      </w:pPr>
    </w:lvl>
    <w:lvl w15:tentative="1" w:ilvl="1">
      <w:start w:val="1"/>
      <w:numFmt w:val="bullet"/>
      <w:lvlText w:val="○"/>
      <w:lvlJc w:val="left"/>
      <w:pPr>
        <w:ind w:hanging="360" w:left="1440"/>
      </w:pPr>
    </w:lvl>
    <w:lvl w15:tentative="1" w:ilvl="2">
      <w:start w:val="1"/>
      <w:numFmt w:val="bullet"/>
      <w:lvlText w:val="■"/>
      <w:lvlJc w:val="left"/>
      <w:pPr>
        <w:ind w:hanging="360" w:left="2160"/>
      </w:pPr>
    </w:lvl>
    <w:lvl w15:tentative="1" w:ilvl="3">
      <w:start w:val="1"/>
      <w:numFmt w:val="bullet"/>
      <w:lvlText w:val="●"/>
      <w:lvlJc w:val="left"/>
      <w:pPr>
        <w:ind w:hanging="360" w:left="2880"/>
      </w:pPr>
    </w:lvl>
    <w:lvl w15:tentative="1" w:ilvl="4">
      <w:start w:val="1"/>
      <w:numFmt w:val="bullet"/>
      <w:lvlText w:val="○"/>
      <w:lvlJc w:val="left"/>
      <w:pPr>
        <w:ind w:hanging="360" w:left="3600"/>
      </w:pPr>
    </w:lvl>
    <w:lvl w15:tentative="1" w:ilvl="5">
      <w:start w:val="1"/>
      <w:numFmt w:val="bullet"/>
      <w:lvlText w:val="■"/>
      <w:lvlJc w:val="left"/>
      <w:pPr>
        <w:ind w:hanging="360" w:left="4320"/>
      </w:pPr>
    </w:lvl>
    <w:lvl w15:tentative="1" w:ilvl="6">
      <w:start w:val="1"/>
      <w:numFmt w:val="bullet"/>
      <w:lvlText w:val="●"/>
      <w:lvlJc w:val="left"/>
      <w:pPr>
        <w:ind w:hanging="360" w:left="5040"/>
      </w:pPr>
    </w:lvl>
    <w:lvl w15:tentative="1" w:ilvl="7">
      <w:start w:val="1"/>
      <w:numFmt w:val="bullet"/>
      <w:lvlText w:val="●"/>
      <w:lvlJc w:val="left"/>
      <w:pPr>
        <w:ind w:hanging="360" w:left="5760"/>
      </w:pPr>
    </w:lvl>
    <w:lvl w15:tentative="1" w:ilvl="8">
      <w:start w:val="1"/>
      <w:numFmt w:val="bullet"/>
      <w:lvlText w:val="●"/>
      <w:lvlJc w:val="left"/>
      <w:pPr>
        <w:ind w:hanging="360" w:left="6480"/>
      </w:p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2"/>
  </w:num>
  <w:num w:numId="1008">
    <w:abstractNumId w:val="992"/>
  </w:num>
  <w:num w:numId="1009">
    <w:abstractNumId w:val="992"/>
  </w:num>
  <w:num w:numId="1010">
    <w:abstractNumId w:val="992"/>
  </w:num>
  <w:num w:numId="1011">
    <w:abstractNumId w:val="992"/>
  </w:num>
  <w:num w:numId="1012">
    <w:abstractNumId w:val="992"/>
  </w:num>
  <w:num w:numId="1013">
    <w:abstractNumId w:val="992"/>
  </w:num>
  <w:num w:numId="1014">
    <w:abstractNumId w:val="992"/>
  </w:num>
  <w:num w:numId="1015">
    <w:abstractNumId w:val="992"/>
  </w:num>
  <w:num w:numId="1016">
    <w:abstractNumId w:val="992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displayBackgroundShape/>
  <w:embedSystemFonts/>
  <w:proofState w:grammar="clean" w:spelling="clean"/>
  <w:stylePaneFormatFilter w:val="0004"/>
  <w:doNotTrackMoves/>
  <w:defaultTabStop w:val="720"/>
  <w:evenAndOddHeaders w:val="false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5"/>
  </w:compat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/>
  </w:docDefaults>
  <w:style w:styleId="Title" w:type="paragraph">
    <w:name w:val="Title"/>
    <w:basedOn w:val="Normal"/>
    <w:next w:val="Normal"/>
    <w:qFormat/>
    <w:rPr>
      <w:sz w:val="56"/>
      <w:szCs w:val="56"/>
    </w:rPr>
  </w:style>
  <w:style w:styleId="Heading1" w:type="paragraph">
    <w:name w:val="Heading 1"/>
    <w:basedOn w:val="Normal"/>
    <w:next w:val="Normal"/>
    <w:qFormat/>
    <w:rPr>
      <w:color w:val="2E74B5"/>
      <w:sz w:val="32"/>
      <w:szCs w:val="32"/>
    </w:rPr>
  </w:style>
  <w:style w:styleId="Heading2" w:type="paragraph">
    <w:name w:val="Heading 2"/>
    <w:basedOn w:val="Normal"/>
    <w:next w:val="Normal"/>
    <w:qFormat/>
    <w:rPr>
      <w:color w:val="2E74B5"/>
      <w:sz w:val="26"/>
      <w:szCs w:val="26"/>
    </w:rPr>
  </w:style>
  <w:style w:styleId="Heading3" w:type="paragraph">
    <w:name w:val="Heading 3"/>
    <w:basedOn w:val="Normal"/>
    <w:next w:val="Normal"/>
    <w:qFormat/>
    <w:rPr>
      <w:color w:val="1F4D78"/>
      <w:sz w:val="24"/>
      <w:szCs w:val="24"/>
    </w:rPr>
  </w:style>
  <w:style w:styleId="Heading4" w:type="paragraph">
    <w:name w:val="Heading 4"/>
    <w:basedOn w:val="Normal"/>
    <w:next w:val="Normal"/>
    <w:qFormat/>
    <w:rPr>
      <w:i/>
      <w:iCs/>
      <w:color w:val="2E74B5"/>
    </w:rPr>
  </w:style>
  <w:style w:styleId="Heading5" w:type="paragraph">
    <w:name w:val="Heading 5"/>
    <w:basedOn w:val="Normal"/>
    <w:next w:val="Normal"/>
    <w:qFormat/>
    <w:rPr>
      <w:color w:val="2E74B5"/>
    </w:rPr>
  </w:style>
  <w:style w:styleId="Heading6" w:type="paragraph">
    <w:name w:val="Heading 6"/>
    <w:basedOn w:val="Normal"/>
    <w:next w:val="Normal"/>
    <w:qFormat/>
    <w:rPr>
      <w:color w:val="1F4D78"/>
    </w:rPr>
  </w:style>
  <w:style w:styleId="Strong" w:type="paragraph">
    <w:name w:val="Strong"/>
    <w:basedOn w:val="Normal"/>
    <w:next w:val="Normal"/>
    <w:qFormat/>
    <w:rPr>
      <w:b/>
      <w:bCs/>
    </w:rPr>
  </w:style>
  <w:style w:styleId="ListParagraph" w:type="paragraph">
    <w:name w:val="List Paragraph"/>
    <w:basedOn w:val="Normal"/>
    <w:qFormat/>
  </w:style>
  <w:style w:styleId="Hyperlink" w:type="character">
    <w:name w:val="Hyperlink"/>
    <w:basedOn w:val="DefaultParagraphFont"/>
    <w:uiPriority w:val="99"/>
    <w:unhideWhenUsed/>
    <w:rPr>
      <w:color w:val="0563C1"/>
      <w:u w:val="single"/>
    </w:rPr>
  </w:style>
  <w:style w:styleId="FootnoteReference" w:type="character">
    <w:name w:val="footnote reference"/>
    <w:basedOn w:val="DefaultParagraphFont"/>
    <w:uiPriority w:val="99"/>
    <w:semiHidden/>
    <w:unhideWhenUsed/>
    <w:rPr>
      <w:vertAlign w:val="superscript"/>
    </w:rPr>
  </w:style>
  <w:style w:styleId="FootnoteText" w:type="paragraph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FootnoteTextChar" w:type="characte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styleId="EndnoteReference" w:type="character">
    <w:name w:val="endnote reference"/>
    <w:basedOn w:val="DefaultParagraphFont"/>
    <w:uiPriority w:val="99"/>
    <w:semiHidden/>
    <w:unhideWhenUsed/>
    <w:rPr>
      <w:vertAlign w:val="superscript"/>
    </w:rPr>
  </w:style>
  <w:style w:styleId="EndnoteText" w:type="paragraph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styleId="EndnoteTextChar" w:type="characte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customStyle="1" w:styleId="SourceCode" w:type="paragraph">
    <w:name w:val="Source Code"/>
    <w:basedOn w:val="Normal"/>
    <w:link w:val="VerbatimChar"/>
    <w:pPr>
      <w:wordWrap w:val="off"/>
    </w:pPr>
  </w:style>
  <w:style w:customStyle="1" w:styleId="KeywordTok" w:type="character">
    <w:name w:val="KeywordTok"/>
    <w:basedOn w:val="VerbatimChar"/>
    <w:rPr>
      <w:b/>
      <w:color w:val="007020"/>
    </w:rPr>
  </w:style>
  <w:style w:customStyle="1" w:styleId="DataTypeTok" w:type="character">
    <w:name w:val="DataTypeTok"/>
    <w:basedOn w:val="VerbatimChar"/>
    <w:rPr>
      <w:color w:val="902000"/>
    </w:rPr>
  </w:style>
  <w:style w:customStyle="1" w:styleId="DecValTok" w:type="character">
    <w:name w:val="DecValTok"/>
    <w:basedOn w:val="VerbatimChar"/>
    <w:rPr>
      <w:color w:val="40a070"/>
    </w:rPr>
  </w:style>
  <w:style w:customStyle="1" w:styleId="BaseNTok" w:type="character">
    <w:name w:val="BaseNTok"/>
    <w:basedOn w:val="VerbatimChar"/>
    <w:rPr>
      <w:color w:val="40a070"/>
    </w:rPr>
  </w:style>
  <w:style w:customStyle="1" w:styleId="FloatTok" w:type="character">
    <w:name w:val="FloatTok"/>
    <w:basedOn w:val="VerbatimChar"/>
    <w:rPr>
      <w:color w:val="40a070"/>
    </w:rPr>
  </w:style>
  <w:style w:customStyle="1" w:styleId="ConstantTok" w:type="character">
    <w:name w:val="ConstantTok"/>
    <w:basedOn w:val="VerbatimChar"/>
    <w:rPr>
      <w:color w:val="880000"/>
    </w:rPr>
  </w:style>
  <w:style w:customStyle="1" w:styleId="CharTok" w:type="character">
    <w:name w:val="CharTok"/>
    <w:basedOn w:val="VerbatimChar"/>
    <w:rPr>
      <w:color w:val="4070a0"/>
    </w:rPr>
  </w:style>
  <w:style w:customStyle="1" w:styleId="SpecialCharTok" w:type="character">
    <w:name w:val="SpecialCharTok"/>
    <w:basedOn w:val="VerbatimChar"/>
    <w:rPr>
      <w:color w:val="4070a0"/>
    </w:rPr>
  </w:style>
  <w:style w:customStyle="1" w:styleId="StringTok" w:type="character">
    <w:name w:val="StringTok"/>
    <w:basedOn w:val="VerbatimChar"/>
    <w:rPr>
      <w:color w:val="4070a0"/>
    </w:rPr>
  </w:style>
  <w:style w:customStyle="1" w:styleId="VerbatimStringTok" w:type="character">
    <w:name w:val="VerbatimStringTok"/>
    <w:basedOn w:val="VerbatimChar"/>
    <w:rPr>
      <w:color w:val="4070a0"/>
    </w:rPr>
  </w:style>
  <w:style w:customStyle="1" w:styleId="SpecialStringTok" w:type="character">
    <w:name w:val="SpecialStringTok"/>
    <w:basedOn w:val="VerbatimChar"/>
    <w:rPr>
      <w:color w:val="bb6688"/>
    </w:rPr>
  </w:style>
  <w:style w:customStyle="1" w:styleId="ImportTok" w:type="character">
    <w:name w:val="ImportTok"/>
    <w:basedOn w:val="VerbatimChar"/>
    <w:rPr>
      <w:b/>
      <w:color w:val="008000"/>
    </w:rPr>
  </w:style>
  <w:style w:customStyle="1" w:styleId="CommentTok" w:type="character">
    <w:name w:val="CommentTok"/>
    <w:basedOn w:val="VerbatimChar"/>
    <w:rPr>
      <w:i/>
      <w:color w:val="60a0b0"/>
    </w:rPr>
  </w:style>
  <w:style w:customStyle="1" w:styleId="DocumentationTok" w:type="character">
    <w:name w:val="DocumentationTok"/>
    <w:basedOn w:val="VerbatimChar"/>
    <w:rPr>
      <w:i/>
      <w:color w:val="ba2121"/>
    </w:rPr>
  </w:style>
  <w:style w:customStyle="1" w:styleId="AnnotationTok" w:type="character">
    <w:name w:val="AnnotationTok"/>
    <w:basedOn w:val="VerbatimChar"/>
    <w:rPr>
      <w:b/>
      <w:i/>
      <w:color w:val="60a0b0"/>
    </w:rPr>
  </w:style>
  <w:style w:customStyle="1" w:styleId="CommentVarTok" w:type="character">
    <w:name w:val="CommentVarTok"/>
    <w:basedOn w:val="VerbatimChar"/>
    <w:rPr>
      <w:b/>
      <w:i/>
      <w:color w:val="60a0b0"/>
    </w:rPr>
  </w:style>
  <w:style w:customStyle="1" w:styleId="OtherTok" w:type="character">
    <w:name w:val="OtherTok"/>
    <w:basedOn w:val="VerbatimChar"/>
    <w:rPr>
      <w:color w:val="007020"/>
    </w:rPr>
  </w:style>
  <w:style w:customStyle="1" w:styleId="FunctionTok" w:type="character">
    <w:name w:val="FunctionTok"/>
    <w:basedOn w:val="VerbatimChar"/>
    <w:rPr>
      <w:color w:val="06287e"/>
    </w:rPr>
  </w:style>
  <w:style w:customStyle="1" w:styleId="VariableTok" w:type="character">
    <w:name w:val="VariableTok"/>
    <w:basedOn w:val="VerbatimChar"/>
    <w:rPr>
      <w:color w:val="19177c"/>
    </w:rPr>
  </w:style>
  <w:style w:customStyle="1" w:styleId="ControlFlowTok" w:type="character">
    <w:name w:val="ControlFlowTok"/>
    <w:basedOn w:val="VerbatimChar"/>
    <w:rPr>
      <w:b/>
      <w:color w:val="007020"/>
    </w:rPr>
  </w:style>
  <w:style w:customStyle="1" w:styleId="OperatorTok" w:type="character">
    <w:name w:val="OperatorTok"/>
    <w:basedOn w:val="VerbatimChar"/>
    <w:rPr>
      <w:color w:val="666666"/>
    </w:rPr>
  </w:style>
  <w:style w:customStyle="1" w:styleId="BuiltInTok" w:type="character">
    <w:name w:val="BuiltInTok"/>
    <w:basedOn w:val="VerbatimChar"/>
    <w:rPr>
      <w:color w:val="008000"/>
    </w:rPr>
  </w:style>
  <w:style w:customStyle="1" w:styleId="ExtensionTok" w:type="character">
    <w:name w:val="ExtensionTok"/>
    <w:basedOn w:val="VerbatimChar"/>
    <w:rPr/>
  </w:style>
  <w:style w:customStyle="1" w:styleId="PreprocessorTok" w:type="character">
    <w:name w:val="PreprocessorTok"/>
    <w:basedOn w:val="VerbatimChar"/>
    <w:rPr>
      <w:color w:val="bc7a00"/>
    </w:rPr>
  </w:style>
  <w:style w:customStyle="1" w:styleId="AttributeTok" w:type="character">
    <w:name w:val="AttributeTok"/>
    <w:basedOn w:val="VerbatimChar"/>
    <w:rPr>
      <w:color w:val="7d9029"/>
    </w:rPr>
  </w:style>
  <w:style w:customStyle="1" w:styleId="RegionMarkerTok" w:type="character">
    <w:name w:val="RegionMarkerTok"/>
    <w:basedOn w:val="VerbatimChar"/>
    <w:rPr/>
  </w:style>
  <w:style w:customStyle="1" w:styleId="InformationTok" w:type="character">
    <w:name w:val="InformationTok"/>
    <w:basedOn w:val="VerbatimChar"/>
    <w:rPr>
      <w:b/>
      <w:i/>
      <w:color w:val="60a0b0"/>
    </w:rPr>
  </w:style>
  <w:style w:customStyle="1" w:styleId="WarningTok" w:type="character">
    <w:name w:val="WarningTok"/>
    <w:basedOn w:val="VerbatimChar"/>
    <w:rPr>
      <w:b/>
      <w:i/>
      <w:color w:val="60a0b0"/>
    </w:rPr>
  </w:style>
  <w:style w:customStyle="1" w:styleId="AlertTok" w:type="character">
    <w:name w:val="AlertTok"/>
    <w:basedOn w:val="VerbatimChar"/>
    <w:rPr>
      <w:b/>
      <w:color w:val="ff0000"/>
    </w:rPr>
  </w:style>
  <w:style w:customStyle="1" w:styleId="ErrorTok" w:type="character">
    <w:name w:val="ErrorTok"/>
    <w:basedOn w:val="VerbatimChar"/>
    <w:rPr>
      <w:b/>
      <w:color w:val="ff0000"/>
    </w:rPr>
  </w:style>
  <w:style w:customStyle="1" w:styleId="NormalTok" w:type="character">
    <w:name w:val="NormalTok"/>
    <w:basedOn w:val="VerbatimChar"/>
    <w:rPr/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'1.0' encoding='UTF-8' standalone='yes'?>
<Relationships xmlns="http://schemas.openxmlformats.org/package/2006/relationships"><Relationship Id="rId16" Type="http://schemas.openxmlformats.org/officeDocument/2006/relationships/numbering" Target="numbering.xml"/><Relationship Id="rId15" Type="http://schemas.openxmlformats.org/officeDocument/2006/relationships/styles" Target="styles.xml"/><Relationship Id="rId14" Type="http://schemas.openxmlformats.org/officeDocument/2006/relationships/settings" Target="settings.xml"/><Relationship Id="rId13" Type="http://schemas.openxmlformats.org/officeDocument/2006/relationships/webSettings" Target="web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notes" Target="footnotes.xml"/><Relationship Id="rId9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1" Type="http://schemas.openxmlformats.org/officeDocument/2006/relationships/header" Target="header2.xml"/><Relationship Id="rId2" Type="http://schemas.openxmlformats.org/officeDocument/2006/relationships/header" Target="header3.xml"/><Relationship Id="rId3" Type="http://schemas.openxmlformats.org/officeDocument/2006/relationships/footer" Target="footer2.xml"/><Relationship Id="rId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2026-07-18T04:09:15Z</dcterms:created>
  <dcterms:modified xsi:type="dcterms:W3CDTF">2026-07-18T04:09:15Z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