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Xd16f20ee5d916f9be7cb049799c7ffc4e011d98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COURS2 — Trace écrite propre — Bonnes pratiques &amp; dépannage inter-VLAN (H03)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Source de diffusion (PDF) pour la trace écrite du cours S4.</w:t>
      </w:r>
      <w:r>
        <w:rPr>
          <w:sz w:val="22"/>
        </w:rPr>
        <w:t xml:space="preserve"> </w:t>
      </w:r>
      <w:r>
        <w:rPr>
          <w:sz w:val="22"/>
        </w:rPr>
        <w:t xml:space="preserve">Alignée 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MODELE_FICHE_COURS_V4.md</w:t>
      </w:r>
      <w:r>
        <w:rPr>
          <w:sz w:val="22"/>
        </w:rPr>
        <w:t xml:space="preserve">.</w:t>
      </w:r>
    </w:p>
    <w:bookmarkStart w:id="17" w:name="X677b0d7d457291e05d9b0761f593a7d5b7fff3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Checklist de dépannage inter-VLAN (version courte)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Décrire le symptôme précisément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Vérifier le poste source (IP/masque/passerelle)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Vérifier VLANs et trunk côté switch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Vérifier sous-interfaces et table de routage côté routeur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Corriger la cause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Refaire le test initial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Conserver une preuve (capture / PV / fiche diagnostic)</w:t>
      </w:r>
    </w:p>
    <w:bookmarkEnd w:id="17"/>
    <w:bookmarkStart w:id="18" w:name="bonnes-pratiques-h0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Bonnes pratiques H03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Numéro de sous-interface = VLAN ID (</w:t>
      </w:r>
      <w:r>
        <w:rPr>
          <w:rStyle w:val="VerbatimChar"/>
          <w:sz w:val="22"/>
        </w:rPr>
        <w:t xml:space="preserve">g0/0.20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Passerelles cohérentes (convention locale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.1</w:t>
      </w:r>
      <w:r>
        <w:rPr>
          <w:sz w:val="22"/>
        </w:rPr>
        <w:t xml:space="preserve"> </w:t>
      </w:r>
      <w:r>
        <w:rPr>
          <w:sz w:val="22"/>
        </w:rPr>
        <w:t xml:space="preserve">si retenue)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Vérification après chaque bloc de configuration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Sauvegarde de configuration après validation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Documentation claire des tests et résultats</w:t>
      </w:r>
    </w:p>
    <w:bookmarkEnd w:id="18"/>
    <w:bookmarkStart w:id="19" w:name="limites-h03-périmètr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Limites H03 (périmètre)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On met en place la connectivité inter-VLAN et la méthode de diagnostic de base.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Le filtrage fin des flux (ACL) sera traité dans une séquence dédiée.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Le routage dynamique sera traité en H04.</w:t>
      </w:r>
    </w:p>
    <w:bookmarkEnd w:id="19"/>
    <w:bookmarkStart w:id="20" w:name="vocabulaire-de-synthès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Vocabulaire de synthèse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 courte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Symptôme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Ce qu’on observe quand ça ne marche pas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Hypothèse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Cause probable à vérifier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Validation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 final après correction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Recette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Vérification formalisée de conformité</w:t>
            </w:r>
          </w:p>
        </w:tc>
      </w:tr>
    </w:tbl>
    <w:bookmarkEnd w:id="20"/>
    <w:bookmarkEnd w:id="21"/>
    <w:sectPr>
      <w:headerReference r:id="rId2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COURS2 — Trace écrite propre — Bonnes pratiques &amp; dépannage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COURS2 — Trace écrite propre — Bonnes pratiques &amp; dépannage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COURS2 — Trace écrite propre — Bonnes pratiques &amp; dépannage inter-VLAN (H03)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2026-07-18T06:13:57Z</dcterms:created>
  <dcterms:modified xsi:type="dcterms:W3CDTF">2026-07-18T06:13:57Z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